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484B11" w:rsidTr="00A22DA1">
        <w:trPr>
          <w:trHeight w:val="2329"/>
        </w:trPr>
        <w:tc>
          <w:tcPr>
            <w:tcW w:w="4320" w:type="dxa"/>
          </w:tcPr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eastAsiaTheme="minorEastAsia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1105EC6" wp14:editId="6C107063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БАШKОРТОСТАН 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РЕСПУБЛИКАһ</w:t>
            </w: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Ы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 СТEРЛЕБАШ РАЙОНЫ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МУНИЦИПАЛЬ РАЙОНЫНЫҢ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Ай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ҘАРӘЛЕ</w:t>
            </w:r>
            <w:proofErr w:type="spell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 АУЫЛ СОВЕТЫ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АУЫЛ БИЛӘМӘҺЕ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ХАКИМИ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  <w:lang w:val="be-BY"/>
              </w:rPr>
              <w:t>Ә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ТЕ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2385" t="35560" r="34290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aDud72gAAAAk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484B11" w:rsidTr="00A22DA1">
        <w:trPr>
          <w:trHeight w:val="2343"/>
        </w:trPr>
        <w:tc>
          <w:tcPr>
            <w:tcW w:w="3852" w:type="dxa"/>
          </w:tcPr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АДМИНИСТРАЦИЯ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СЕЛЬСКОГО ПОСЕЛЕНИЯ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АЙДАРАЛИНСКИЙ СЕЛЬСОВЕТ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МУНИЦИПАЛЬНОГО РАЙОНА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СТЕРЛИБАШЕВСКИЙ РАЙОН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РЕСПУБЛИКИ БАШКОРТОСТАН</w:t>
            </w:r>
          </w:p>
          <w:p w:rsidR="00484B11" w:rsidRDefault="00484B11" w:rsidP="00A22DA1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</w:p>
        </w:tc>
      </w:tr>
    </w:tbl>
    <w:p w:rsidR="00484B11" w:rsidRDefault="00484B11" w:rsidP="00484B11">
      <w:pPr>
        <w:pStyle w:val="3"/>
        <w:spacing w:line="240" w:lineRule="exact"/>
        <w:ind w:left="0"/>
        <w:rPr>
          <w:sz w:val="20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484B11" w:rsidRDefault="00484B11" w:rsidP="00484B11">
      <w:pPr>
        <w:pStyle w:val="3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БОЙОРОК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РАСПОРЯЖЕНИЕ</w:t>
      </w:r>
    </w:p>
    <w:p w:rsidR="00484B11" w:rsidRDefault="00484B11" w:rsidP="00484B11">
      <w:pPr>
        <w:rPr>
          <w:rFonts w:ascii="Times New Roman" w:hAnsi="Times New Roman"/>
        </w:rPr>
      </w:pPr>
    </w:p>
    <w:p w:rsidR="00484B11" w:rsidRPr="00146B54" w:rsidRDefault="00484B11" w:rsidP="00484B11">
      <w:pPr>
        <w:rPr>
          <w:rFonts w:ascii="Times New Roman" w:hAnsi="Times New Roman" w:cs="Times New Roman"/>
          <w:sz w:val="24"/>
          <w:szCs w:val="24"/>
        </w:rPr>
      </w:pPr>
      <w:r w:rsidRPr="00146B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« 27</w:t>
      </w:r>
      <w:r w:rsidRPr="00146B5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146B54">
        <w:rPr>
          <w:rFonts w:ascii="Times New Roman" w:hAnsi="Times New Roman" w:cs="Times New Roman"/>
          <w:sz w:val="24"/>
          <w:szCs w:val="24"/>
        </w:rPr>
        <w:t xml:space="preserve">   2019 й.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146B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27»</w:t>
      </w:r>
      <w:r w:rsidRPr="00146B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46B54">
        <w:rPr>
          <w:rFonts w:ascii="Times New Roman" w:hAnsi="Times New Roman" w:cs="Times New Roman"/>
          <w:sz w:val="24"/>
          <w:szCs w:val="24"/>
        </w:rPr>
        <w:t xml:space="preserve">  2019г.</w:t>
      </w:r>
    </w:p>
    <w:p w:rsidR="00484B11" w:rsidRPr="0055535C" w:rsidRDefault="00484B11" w:rsidP="0048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4B11" w:rsidRPr="0055535C" w:rsidRDefault="00484B11" w:rsidP="0048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11" w:rsidRPr="0055535C" w:rsidRDefault="00484B11" w:rsidP="0048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35C">
        <w:rPr>
          <w:rFonts w:ascii="Times New Roman" w:hAnsi="Times New Roman" w:cs="Times New Roman"/>
          <w:sz w:val="24"/>
          <w:szCs w:val="24"/>
        </w:rPr>
        <w:t>Об  утверждении  Положения об экспертной комиссии Администрации</w:t>
      </w:r>
    </w:p>
    <w:p w:rsidR="00484B11" w:rsidRPr="0055535C" w:rsidRDefault="00484B11" w:rsidP="0048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35C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Pr="0055535C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55535C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55535C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84B11" w:rsidRPr="0055535C" w:rsidRDefault="00484B11" w:rsidP="00484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11" w:rsidRPr="0055535C" w:rsidRDefault="00484B11" w:rsidP="00484B11">
      <w:pPr>
        <w:autoSpaceDE w:val="0"/>
        <w:autoSpaceDN w:val="0"/>
        <w:adjustRightInd w:val="0"/>
        <w:jc w:val="both"/>
        <w:rPr>
          <w:rFonts w:ascii="Times New Roman" w:eastAsia="DejaVuSans" w:hAnsi="Times New Roman" w:cs="Times New Roman"/>
          <w:color w:val="000000"/>
          <w:sz w:val="24"/>
          <w:szCs w:val="24"/>
        </w:rPr>
      </w:pPr>
      <w:r w:rsidRPr="0055535C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55535C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4034), </w:t>
      </w:r>
      <w:r w:rsidRPr="0055535C">
        <w:rPr>
          <w:rFonts w:ascii="Times New Roman" w:hAnsi="Times New Roman" w:cs="Times New Roman"/>
          <w:noProof/>
          <w:sz w:val="24"/>
          <w:szCs w:val="24"/>
        </w:rPr>
        <w:t xml:space="preserve">уставом администрации 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>Айдаралинский</w:t>
      </w:r>
      <w:r w:rsidRPr="0055535C">
        <w:rPr>
          <w:rFonts w:ascii="Times New Roman" w:hAnsi="Times New Roman" w:cs="Times New Roman"/>
          <w:noProof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Стерлибашевский   </w:t>
      </w:r>
      <w:r w:rsidRPr="0055535C">
        <w:rPr>
          <w:rFonts w:ascii="Times New Roman" w:hAnsi="Times New Roman" w:cs="Times New Roman"/>
          <w:noProof/>
          <w:sz w:val="24"/>
          <w:szCs w:val="24"/>
        </w:rPr>
        <w:t>район Республики Башкортостан:</w:t>
      </w:r>
    </w:p>
    <w:p w:rsidR="00484B11" w:rsidRPr="0055535C" w:rsidRDefault="00484B11" w:rsidP="00484B11">
      <w:pPr>
        <w:autoSpaceDE w:val="0"/>
        <w:autoSpaceDN w:val="0"/>
        <w:adjustRightInd w:val="0"/>
        <w:jc w:val="both"/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</w:pPr>
      <w:r w:rsidRPr="0055535C">
        <w:rPr>
          <w:rFonts w:ascii="Times New Roman" w:hAnsi="Times New Roman" w:cs="Times New Roman"/>
          <w:noProof/>
          <w:sz w:val="24"/>
          <w:szCs w:val="24"/>
        </w:rPr>
        <w:t xml:space="preserve">1.  Утвердить  Положение   </w:t>
      </w:r>
      <w:r w:rsidRPr="0055535C"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>об экспертной комиссии (</w:t>
      </w:r>
      <w:proofErr w:type="gramStart"/>
      <w:r w:rsidRPr="0055535C"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>ЭК</w:t>
      </w:r>
      <w:proofErr w:type="gramEnd"/>
      <w:r w:rsidRPr="0055535C"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 xml:space="preserve">) сельского поселения </w:t>
      </w:r>
      <w:proofErr w:type="spellStart"/>
      <w:r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>Айдаралинскицй</w:t>
      </w:r>
      <w:proofErr w:type="spellEnd"/>
      <w:r w:rsidRPr="0055535C"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DejaVuSans-Bold" w:hAnsi="Times New Roman" w:cs="Times New Roman"/>
          <w:bCs/>
          <w:color w:val="000000"/>
          <w:sz w:val="24"/>
          <w:szCs w:val="24"/>
        </w:rPr>
        <w:t xml:space="preserve"> район Республики Башкортостан (приложение №1).</w:t>
      </w:r>
    </w:p>
    <w:p w:rsidR="00484B11" w:rsidRPr="0055535C" w:rsidRDefault="00484B11" w:rsidP="00484B11">
      <w:pPr>
        <w:pStyle w:val="a3"/>
        <w:ind w:left="-284" w:right="-144"/>
        <w:rPr>
          <w:rFonts w:ascii="Times New Roman" w:hAnsi="Times New Roman" w:cs="Times New Roman"/>
          <w:sz w:val="24"/>
          <w:szCs w:val="24"/>
        </w:rPr>
      </w:pPr>
      <w:r w:rsidRPr="0055535C">
        <w:rPr>
          <w:rFonts w:ascii="Times New Roman" w:hAnsi="Times New Roman" w:cs="Times New Roman"/>
          <w:noProof/>
          <w:sz w:val="24"/>
          <w:szCs w:val="24"/>
        </w:rPr>
        <w:t xml:space="preserve">    2. </w:t>
      </w:r>
      <w:proofErr w:type="gramStart"/>
      <w:r w:rsidRPr="0055535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5535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</w:t>
      </w:r>
    </w:p>
    <w:p w:rsidR="00484B11" w:rsidRPr="0055535C" w:rsidRDefault="00484B11" w:rsidP="00484B11">
      <w:pPr>
        <w:rPr>
          <w:rFonts w:ascii="Times New Roman" w:hAnsi="Times New Roman" w:cs="Times New Roman"/>
          <w:bCs/>
          <w:sz w:val="24"/>
          <w:szCs w:val="24"/>
        </w:rPr>
      </w:pPr>
    </w:p>
    <w:p w:rsidR="00484B11" w:rsidRPr="0055535C" w:rsidRDefault="00484B11" w:rsidP="00484B11">
      <w:pPr>
        <w:pStyle w:val="a3"/>
        <w:ind w:left="-284" w:right="-144"/>
        <w:rPr>
          <w:rFonts w:ascii="Times New Roman" w:hAnsi="Times New Roman" w:cs="Times New Roman"/>
          <w:sz w:val="24"/>
          <w:szCs w:val="24"/>
        </w:rPr>
      </w:pPr>
    </w:p>
    <w:p w:rsidR="00484B11" w:rsidRPr="0055535C" w:rsidRDefault="00484B11" w:rsidP="00484B11">
      <w:pPr>
        <w:rPr>
          <w:rFonts w:ascii="Times New Roman" w:hAnsi="Times New Roman" w:cs="Times New Roman"/>
          <w:sz w:val="24"/>
          <w:szCs w:val="24"/>
        </w:rPr>
      </w:pPr>
      <w:r w:rsidRPr="0055535C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С.М. Хакимов</w:t>
      </w:r>
    </w:p>
    <w:p w:rsidR="00484B11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B11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B11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B11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B11" w:rsidRPr="0055535C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84B11" w:rsidRPr="0055535C" w:rsidTr="00A22DA1">
        <w:tc>
          <w:tcPr>
            <w:tcW w:w="5436" w:type="dxa"/>
            <w:hideMark/>
          </w:tcPr>
          <w:p w:rsidR="00484B11" w:rsidRPr="0055535C" w:rsidRDefault="00484B11" w:rsidP="00A22DA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53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№ 1</w:t>
            </w:r>
          </w:p>
          <w:p w:rsidR="00484B11" w:rsidRPr="0055535C" w:rsidRDefault="00484B11" w:rsidP="00A22DA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53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распоряжению</w:t>
            </w:r>
          </w:p>
          <w:p w:rsidR="00484B11" w:rsidRPr="0055535C" w:rsidRDefault="00484B11" w:rsidP="00A2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3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  <w:proofErr w:type="spellStart"/>
            <w:r w:rsidRPr="0055535C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</w:p>
          <w:p w:rsidR="00484B11" w:rsidRPr="0055535C" w:rsidRDefault="00484B11" w:rsidP="00A2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C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5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55535C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5553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5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84B11" w:rsidRPr="0055535C" w:rsidRDefault="00484B11" w:rsidP="00A22DA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«27» марта года  №4</w:t>
            </w:r>
          </w:p>
        </w:tc>
      </w:tr>
    </w:tbl>
    <w:p w:rsidR="00484B11" w:rsidRPr="0055535C" w:rsidRDefault="00484B11" w:rsidP="0048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4B11" w:rsidRDefault="00484B11" w:rsidP="00484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11" w:rsidRPr="0055535C" w:rsidRDefault="00484B11" w:rsidP="00484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35C">
        <w:rPr>
          <w:rFonts w:ascii="Times New Roman" w:hAnsi="Times New Roman"/>
          <w:sz w:val="24"/>
          <w:szCs w:val="24"/>
        </w:rPr>
        <w:t>Положение об экспертной комиссии Администрации</w:t>
      </w:r>
    </w:p>
    <w:p w:rsidR="00484B11" w:rsidRPr="0055535C" w:rsidRDefault="00484B11" w:rsidP="00484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35C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55535C">
        <w:rPr>
          <w:rFonts w:ascii="Times New Roman" w:hAnsi="Times New Roman"/>
          <w:sz w:val="24"/>
          <w:szCs w:val="24"/>
        </w:rPr>
        <w:t>Айдаралинский</w:t>
      </w:r>
      <w:proofErr w:type="spellEnd"/>
      <w:r w:rsidRPr="0055535C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55535C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484B11" w:rsidRPr="0055535C" w:rsidRDefault="00484B11" w:rsidP="00484B11">
      <w:pPr>
        <w:jc w:val="both"/>
        <w:rPr>
          <w:rFonts w:ascii="Times New Roman" w:hAnsi="Times New Roman"/>
          <w:sz w:val="24"/>
          <w:szCs w:val="24"/>
        </w:rPr>
      </w:pPr>
    </w:p>
    <w:p w:rsidR="00484B11" w:rsidRPr="0055535C" w:rsidRDefault="00484B11" w:rsidP="00484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5C">
        <w:rPr>
          <w:rFonts w:ascii="Times New Roman" w:hAnsi="Times New Roman"/>
          <w:sz w:val="24"/>
          <w:szCs w:val="24"/>
        </w:rPr>
        <w:t>I. Общие положения</w:t>
      </w:r>
    </w:p>
    <w:p w:rsidR="00484B11" w:rsidRPr="0055535C" w:rsidRDefault="00484B11" w:rsidP="00484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5C">
        <w:rPr>
          <w:rFonts w:ascii="Times New Roman" w:hAnsi="Times New Roman"/>
          <w:sz w:val="24"/>
          <w:szCs w:val="24"/>
        </w:rPr>
        <w:t xml:space="preserve">1. Положение об экспертной комиссии </w:t>
      </w:r>
      <w:r w:rsidRPr="0055535C">
        <w:rPr>
          <w:rFonts w:ascii="Times New Roman" w:eastAsia="Times New Roman" w:hAnsi="Times New Roman"/>
          <w:sz w:val="24"/>
          <w:szCs w:val="24"/>
        </w:rPr>
        <w:t xml:space="preserve">Администрации СП </w:t>
      </w:r>
      <w:proofErr w:type="spellStart"/>
      <w:r w:rsidRPr="0055535C">
        <w:rPr>
          <w:rFonts w:ascii="Times New Roman" w:eastAsia="Times New Roman" w:hAnsi="Times New Roman"/>
          <w:sz w:val="24"/>
          <w:szCs w:val="24"/>
        </w:rPr>
        <w:t>Айдаралинский</w:t>
      </w:r>
      <w:proofErr w:type="spellEnd"/>
      <w:r w:rsidRPr="0055535C">
        <w:rPr>
          <w:rFonts w:ascii="Times New Roman" w:eastAsia="Times New Roman" w:hAnsi="Times New Roman"/>
          <w:sz w:val="24"/>
          <w:szCs w:val="24"/>
        </w:rPr>
        <w:t xml:space="preserve"> сельсовет МР </w:t>
      </w:r>
      <w:proofErr w:type="spellStart"/>
      <w:r w:rsidRPr="0055535C">
        <w:rPr>
          <w:rFonts w:ascii="Times New Roman" w:eastAsia="Times New Roman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</w:t>
      </w:r>
      <w:r w:rsidRPr="0055535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55535C">
        <w:rPr>
          <w:rFonts w:ascii="Times New Roman" w:hAnsi="Times New Roman"/>
          <w:sz w:val="24"/>
          <w:szCs w:val="24"/>
        </w:rPr>
        <w:t>(далее–Положение)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484B11" w:rsidRPr="0055535C" w:rsidRDefault="00484B11" w:rsidP="00484B11">
      <w:pPr>
        <w:jc w:val="both"/>
        <w:rPr>
          <w:rFonts w:ascii="Times New Roman" w:hAnsi="Times New Roman"/>
          <w:sz w:val="24"/>
          <w:szCs w:val="24"/>
        </w:rPr>
      </w:pP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hAnsi="Times New Roman"/>
          <w:sz w:val="24"/>
          <w:szCs w:val="24"/>
        </w:rPr>
        <w:t xml:space="preserve">2.Экспертная комиссия </w:t>
      </w:r>
      <w:r w:rsidRPr="0055535C">
        <w:rPr>
          <w:rFonts w:ascii="Times New Roman" w:eastAsia="Times New Roman" w:hAnsi="Times New Roman"/>
          <w:sz w:val="24"/>
          <w:szCs w:val="24"/>
        </w:rPr>
        <w:t xml:space="preserve">Администрации СП </w:t>
      </w:r>
      <w:proofErr w:type="spellStart"/>
      <w:r w:rsidRPr="0055535C">
        <w:rPr>
          <w:rFonts w:ascii="Times New Roman" w:eastAsia="Times New Roman" w:hAnsi="Times New Roman"/>
          <w:sz w:val="24"/>
          <w:szCs w:val="24"/>
        </w:rPr>
        <w:t>Айдаралинский</w:t>
      </w:r>
      <w:proofErr w:type="spellEnd"/>
      <w:r w:rsidRPr="0055535C">
        <w:rPr>
          <w:rFonts w:ascii="Times New Roman" w:eastAsia="Times New Roman" w:hAnsi="Times New Roman"/>
          <w:sz w:val="24"/>
          <w:szCs w:val="24"/>
        </w:rPr>
        <w:t xml:space="preserve"> сельсовет МР </w:t>
      </w:r>
      <w:proofErr w:type="spellStart"/>
      <w:r w:rsidRPr="0055535C">
        <w:rPr>
          <w:rFonts w:ascii="Times New Roman" w:eastAsia="Times New Roman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(</w:t>
      </w:r>
      <w:r w:rsidRPr="0055535C">
        <w:rPr>
          <w:rFonts w:ascii="Times New Roman" w:hAnsi="Times New Roman"/>
          <w:sz w:val="24"/>
          <w:szCs w:val="24"/>
        </w:rPr>
        <w:t xml:space="preserve">далее–ЭК)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55535C">
        <w:rPr>
          <w:rFonts w:ascii="Times New Roman" w:eastAsia="Times New Roman" w:hAnsi="Times New Roman"/>
          <w:sz w:val="24"/>
          <w:szCs w:val="24"/>
        </w:rPr>
        <w:t xml:space="preserve">Администрации СП </w:t>
      </w:r>
      <w:proofErr w:type="spellStart"/>
      <w:r w:rsidRPr="0055535C">
        <w:rPr>
          <w:rFonts w:ascii="Times New Roman" w:eastAsia="Times New Roman" w:hAnsi="Times New Roman"/>
          <w:sz w:val="24"/>
          <w:szCs w:val="24"/>
        </w:rPr>
        <w:t>Айдаралинский</w:t>
      </w:r>
      <w:proofErr w:type="spellEnd"/>
      <w:r w:rsidRPr="0055535C">
        <w:rPr>
          <w:rFonts w:ascii="Times New Roman" w:eastAsia="Times New Roman" w:hAnsi="Times New Roman"/>
          <w:sz w:val="24"/>
          <w:szCs w:val="24"/>
        </w:rPr>
        <w:t xml:space="preserve"> сельсовет МР </w:t>
      </w:r>
      <w:proofErr w:type="spellStart"/>
      <w:r w:rsidRPr="0055535C">
        <w:rPr>
          <w:rFonts w:ascii="Times New Roman" w:eastAsia="Times New Roman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</w:t>
      </w:r>
      <w:r w:rsidRPr="0055535C">
        <w:rPr>
          <w:rFonts w:ascii="Times New Roman" w:hAnsi="Times New Roman"/>
          <w:sz w:val="24"/>
          <w:szCs w:val="24"/>
        </w:rPr>
        <w:t>(далее Администрация).</w:t>
      </w:r>
      <w:r w:rsidRPr="0055535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3.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является совещательным органом, создается постановлением Администрации, действует на основании положения, утвержденного главой Администрации. Положение согласовывается с центральной экспертной комиссией Администрации муниципального района </w:t>
      </w:r>
      <w:proofErr w:type="spellStart"/>
      <w:r w:rsidRPr="0055535C">
        <w:rPr>
          <w:rFonts w:ascii="Times New Roman" w:eastAsia="Batang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Batang" w:hAnsi="Times New Roman"/>
          <w:sz w:val="24"/>
          <w:szCs w:val="24"/>
        </w:rPr>
        <w:t xml:space="preserve"> района Республики Башкортостан.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 4.Персональный состав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определяется главой Администрации. В состав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делопроизводства, Председатель комитета по делам архива администрации МР </w:t>
      </w:r>
      <w:proofErr w:type="spellStart"/>
      <w:r w:rsidRPr="0055535C">
        <w:rPr>
          <w:rFonts w:ascii="Times New Roman" w:eastAsia="Batang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Batang" w:hAnsi="Times New Roman"/>
          <w:sz w:val="24"/>
          <w:szCs w:val="24"/>
        </w:rPr>
        <w:t xml:space="preserve"> район РБ (по согласованию). Председателем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назначается управляющий делами Администрации.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 5. 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ст.4169; 2006, № 50, ст.5280; 2007, № 49,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c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>т.6079; 2008, № 20, ст.2253; 2010, №19, ст.2291, №31, ст.4196; 2013, №7, ст.611; 2014, №40, ст.5320; 2015, №48, ст.6723; 2016, №10, ст.1317, №22, ст.3097; 2017, №25, ст3596; 2018, №1, ст.19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 xml:space="preserve"> )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</w:t>
      </w:r>
      <w:r w:rsidRPr="0055535C">
        <w:rPr>
          <w:rFonts w:ascii="Times New Roman" w:eastAsia="Batang" w:hAnsi="Times New Roman"/>
          <w:sz w:val="24"/>
          <w:szCs w:val="24"/>
        </w:rPr>
        <w:lastRenderedPageBreak/>
        <w:t>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II. Функции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6. Экспертная комиссия осуществляет следующие функции: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 6.2. Рассматривает и принимает решения о согласовании: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описей дел постоянного хранения управленческой и иных видов документации;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описей дел по личному составу;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>описей дел временных (свыше 10 лет) сроков хранения;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номенклатуры дел Администрации;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актов о выделении к уничтожению документов, неподлежащих хранению;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актов об утрате документов;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актов о неисправимом повреждении архивных документов;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предложений об установлении (изменении) сроков хранения документов, непредусмотренных (предусмотренных) перечнями типовых архивных документов; </w:t>
      </w:r>
    </w:p>
    <w:p w:rsidR="00484B11" w:rsidRPr="0055535C" w:rsidRDefault="00484B11" w:rsidP="00484B11">
      <w:pPr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проектов локальных нормативных актов и методических документов Администрации по делопроизводству и архивному делу.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6.3. Обеспечивает совместно с архивом муниципального района </w:t>
      </w:r>
      <w:proofErr w:type="spellStart"/>
      <w:r w:rsidRPr="0055535C">
        <w:rPr>
          <w:rFonts w:ascii="Times New Roman" w:eastAsia="Batang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Batang" w:hAnsi="Times New Roman"/>
          <w:sz w:val="24"/>
          <w:szCs w:val="24"/>
        </w:rPr>
        <w:t xml:space="preserve"> район (далее–архив Администрации) представление на утверждение ЭПК Управления по делам архивов Республики Башкортостан</w:t>
      </w:r>
      <w:r w:rsidRPr="0055535C">
        <w:rPr>
          <w:rFonts w:ascii="Times New Roman" w:eastAsia="Batang" w:hAnsi="Times New Roman"/>
          <w:color w:val="FF0000"/>
          <w:sz w:val="24"/>
          <w:szCs w:val="24"/>
        </w:rPr>
        <w:t xml:space="preserve"> </w:t>
      </w:r>
      <w:r w:rsidRPr="0055535C">
        <w:rPr>
          <w:rFonts w:ascii="Times New Roman" w:eastAsia="Batang" w:hAnsi="Times New Roman"/>
          <w:sz w:val="24"/>
          <w:szCs w:val="24"/>
        </w:rPr>
        <w:t xml:space="preserve">согласованных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 6.4. Обеспечивает совместно с архивом Администрации представление на согласование ЭПК Управления по делам архивов Республики Башкортостан</w:t>
      </w:r>
      <w:r w:rsidRPr="0055535C">
        <w:rPr>
          <w:rFonts w:ascii="Times New Roman" w:eastAsia="Batang" w:hAnsi="Times New Roman"/>
          <w:color w:val="FF0000"/>
          <w:sz w:val="24"/>
          <w:szCs w:val="24"/>
        </w:rPr>
        <w:t xml:space="preserve"> </w:t>
      </w:r>
      <w:r w:rsidRPr="0055535C">
        <w:rPr>
          <w:rFonts w:ascii="Times New Roman" w:eastAsia="Batang" w:hAnsi="Times New Roman"/>
          <w:sz w:val="24"/>
          <w:szCs w:val="24"/>
        </w:rPr>
        <w:t xml:space="preserve">согласованные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описи дел по личному составу.  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>6.5. Обеспечивает совместно с архивом Администрации</w:t>
      </w:r>
      <w:r w:rsidRPr="0055535C">
        <w:rPr>
          <w:rFonts w:ascii="Times New Roman" w:eastAsia="Batang" w:hAnsi="Times New Roman"/>
          <w:color w:val="FF0000"/>
          <w:sz w:val="24"/>
          <w:szCs w:val="24"/>
        </w:rPr>
        <w:t xml:space="preserve"> </w:t>
      </w:r>
      <w:r w:rsidRPr="0055535C">
        <w:rPr>
          <w:rFonts w:ascii="Times New Roman" w:eastAsia="Batang" w:hAnsi="Times New Roman"/>
          <w:sz w:val="24"/>
          <w:szCs w:val="24"/>
        </w:rPr>
        <w:t>представление на согласование ЭПК Управления по делам архивов Республики Башкортостан</w:t>
      </w:r>
      <w:r w:rsidRPr="0055535C">
        <w:rPr>
          <w:rFonts w:ascii="Times New Roman" w:eastAsia="Batang" w:hAnsi="Times New Roman"/>
          <w:color w:val="FF0000"/>
          <w:sz w:val="24"/>
          <w:szCs w:val="24"/>
        </w:rPr>
        <w:t xml:space="preserve"> </w:t>
      </w:r>
      <w:r w:rsidRPr="0055535C">
        <w:rPr>
          <w:rFonts w:ascii="Times New Roman" w:eastAsia="Batang" w:hAnsi="Times New Roman"/>
          <w:sz w:val="24"/>
          <w:szCs w:val="24"/>
        </w:rPr>
        <w:t>актов об утрате документов, актов о неисправимых повреждениях архивных документов.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III. Права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7.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имеет право: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7.1. Давать рекомендации  по вопросам разработки номенклатур дел и формирования дел в делопроизводстве, экспертизы ценности документов, розыска недостающих дел </w:t>
      </w:r>
      <w:r w:rsidRPr="0055535C">
        <w:rPr>
          <w:rFonts w:ascii="Times New Roman" w:eastAsia="Batang" w:hAnsi="Times New Roman"/>
          <w:sz w:val="24"/>
          <w:szCs w:val="24"/>
        </w:rPr>
        <w:lastRenderedPageBreak/>
        <w:t>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>7.2. Запрашивать у служб (отделов) администрации сельского поселения:</w:t>
      </w:r>
      <w:r w:rsidRPr="0055535C">
        <w:rPr>
          <w:rFonts w:ascii="Times New Roman" w:eastAsia="Batang" w:hAnsi="Times New Roman"/>
          <w:color w:val="0070C0"/>
          <w:sz w:val="24"/>
          <w:szCs w:val="24"/>
        </w:rPr>
        <w:t xml:space="preserve"> 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б) предложения и заключения, необходимые для определения сроков хранения документов.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7.4. Приглашать на заседания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Республики Башкортостан и других архивных документов 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7.6. Информировать руководство Администрации по вопросам, относящимся к компетенции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IV. Организация работы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8.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взаимодействует с  ЦЭК Администрации МР </w:t>
      </w:r>
      <w:proofErr w:type="spellStart"/>
      <w:r w:rsidRPr="0055535C">
        <w:rPr>
          <w:rFonts w:ascii="Times New Roman" w:eastAsia="Batang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Batang" w:hAnsi="Times New Roman"/>
          <w:sz w:val="24"/>
          <w:szCs w:val="24"/>
        </w:rPr>
        <w:t xml:space="preserve"> район Республики Башкортостан,</w:t>
      </w:r>
      <w:r w:rsidRPr="0055535C">
        <w:rPr>
          <w:rFonts w:ascii="Times New Roman" w:eastAsia="Batang" w:hAnsi="Times New Roman"/>
          <w:color w:val="0070C0"/>
          <w:sz w:val="24"/>
          <w:szCs w:val="24"/>
        </w:rPr>
        <w:t xml:space="preserve"> </w:t>
      </w:r>
      <w:r w:rsidRPr="0055535C">
        <w:rPr>
          <w:rFonts w:ascii="Times New Roman" w:eastAsia="Batang" w:hAnsi="Times New Roman"/>
          <w:sz w:val="24"/>
          <w:szCs w:val="24"/>
        </w:rPr>
        <w:t xml:space="preserve">а также с муниципальным архивом администрации муниципального района </w:t>
      </w:r>
      <w:proofErr w:type="spellStart"/>
      <w:r w:rsidRPr="0055535C">
        <w:rPr>
          <w:rFonts w:ascii="Times New Roman" w:eastAsia="Batang" w:hAnsi="Times New Roman"/>
          <w:sz w:val="24"/>
          <w:szCs w:val="24"/>
        </w:rPr>
        <w:t>Стерлибашевский</w:t>
      </w:r>
      <w:proofErr w:type="spellEnd"/>
      <w:r w:rsidRPr="0055535C">
        <w:rPr>
          <w:rFonts w:ascii="Times New Roman" w:eastAsia="Batang" w:hAnsi="Times New Roman"/>
          <w:sz w:val="24"/>
          <w:szCs w:val="24"/>
        </w:rPr>
        <w:t xml:space="preserve"> район Республики Башкортостан.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 9. Вопросы,  относящиеся к компетенции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протоколируются.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10. Заседание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11. Решения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. Право решающего голоса имеют только члены ЭК. Приглашенные консультанты и эксперты имеют право совещательного голоса.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12. Ведение делопроизводства </w:t>
      </w:r>
      <w:proofErr w:type="gramStart"/>
      <w:r w:rsidRPr="0055535C">
        <w:rPr>
          <w:rFonts w:ascii="Times New Roman" w:eastAsia="Batang" w:hAnsi="Times New Roman"/>
          <w:sz w:val="24"/>
          <w:szCs w:val="24"/>
        </w:rPr>
        <w:t>ЭК</w:t>
      </w:r>
      <w:proofErr w:type="gramEnd"/>
      <w:r w:rsidRPr="0055535C">
        <w:rPr>
          <w:rFonts w:ascii="Times New Roman" w:eastAsia="Batang" w:hAnsi="Times New Roman"/>
          <w:sz w:val="24"/>
          <w:szCs w:val="24"/>
        </w:rPr>
        <w:t xml:space="preserve"> возлагается на секретаря ЭК.  </w:t>
      </w: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</w:p>
    <w:p w:rsidR="00484B11" w:rsidRPr="0055535C" w:rsidRDefault="00484B11" w:rsidP="00484B11">
      <w:pPr>
        <w:jc w:val="both"/>
        <w:rPr>
          <w:rFonts w:ascii="Times New Roman" w:eastAsia="Batang" w:hAnsi="Times New Roman"/>
          <w:sz w:val="24"/>
          <w:szCs w:val="24"/>
        </w:rPr>
      </w:pPr>
      <w:r w:rsidRPr="0055535C">
        <w:rPr>
          <w:rFonts w:ascii="Times New Roman" w:eastAsia="Batang" w:hAnsi="Times New Roman"/>
          <w:sz w:val="24"/>
          <w:szCs w:val="24"/>
        </w:rPr>
        <w:t xml:space="preserve">Управляющий делами:                                                            </w:t>
      </w:r>
      <w:proofErr w:type="spellStart"/>
      <w:r w:rsidRPr="0055535C">
        <w:rPr>
          <w:rFonts w:ascii="Times New Roman" w:eastAsia="Batang" w:hAnsi="Times New Roman"/>
          <w:sz w:val="24"/>
          <w:szCs w:val="24"/>
        </w:rPr>
        <w:t>Н.А.Салахутдинова</w:t>
      </w:r>
      <w:proofErr w:type="spellEnd"/>
    </w:p>
    <w:p w:rsidR="00484B11" w:rsidRPr="0055535C" w:rsidRDefault="00484B11" w:rsidP="00484B11">
      <w:pPr>
        <w:rPr>
          <w:rFonts w:ascii="Calibri" w:eastAsia="Calibri" w:hAnsi="Calibri"/>
          <w:sz w:val="24"/>
          <w:szCs w:val="24"/>
        </w:rPr>
      </w:pPr>
    </w:p>
    <w:p w:rsidR="00484B11" w:rsidRPr="0055535C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B11" w:rsidRPr="0055535C" w:rsidRDefault="00484B11" w:rsidP="00484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2F6" w:rsidRDefault="002112F6">
      <w:bookmarkStart w:id="0" w:name="_GoBack"/>
      <w:bookmarkEnd w:id="0"/>
    </w:p>
    <w:sectPr w:rsidR="0021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0224"/>
    <w:multiLevelType w:val="hybridMultilevel"/>
    <w:tmpl w:val="851C26D4"/>
    <w:lvl w:ilvl="0" w:tplc="551E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A"/>
    <w:rsid w:val="002112F6"/>
    <w:rsid w:val="00484B11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4B11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4B1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84B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4B11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4B1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84B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2019-04-30T10:15:00Z</dcterms:created>
  <dcterms:modified xsi:type="dcterms:W3CDTF">2019-04-30T10:15:00Z</dcterms:modified>
</cp:coreProperties>
</file>